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709" w:hanging="284"/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№78»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center"/>
        <w:spacing w:after="0" w:line="360" w:lineRule="auto"/>
      </w:pPr>
      <w:r/>
      <w:r/>
    </w:p>
    <w:p>
      <w:pPr>
        <w:ind w:firstLine="680"/>
        <w:jc w:val="both"/>
        <w:spacing w:after="0" w:line="360" w:lineRule="auto"/>
      </w:pPr>
      <w:r/>
      <w:r/>
    </w:p>
    <w:p>
      <w:pPr>
        <w:ind w:firstLine="680"/>
        <w:jc w:val="both"/>
        <w:spacing w:after="0" w:line="360" w:lineRule="auto"/>
      </w:pPr>
      <w:r/>
      <w:r/>
    </w:p>
    <w:p>
      <w:pPr>
        <w:ind w:firstLine="680"/>
        <w:jc w:val="both"/>
        <w:spacing w:after="0" w:line="360" w:lineRule="auto"/>
      </w:pPr>
      <w:r/>
      <w:r/>
    </w:p>
    <w:p>
      <w:pPr>
        <w:ind w:firstLine="680"/>
        <w:jc w:val="both"/>
        <w:spacing w:after="0" w:line="360" w:lineRule="auto"/>
      </w:pPr>
      <w:r/>
      <w:r/>
    </w:p>
    <w:p>
      <w:pPr>
        <w:jc w:val="both"/>
        <w:spacing w:after="0" w:line="360" w:lineRule="auto"/>
      </w:pPr>
      <w:r/>
      <w:r/>
    </w:p>
    <w:p>
      <w:pPr>
        <w:ind w:firstLine="680"/>
        <w:jc w:val="center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Дидактическая игра МЕМО Стерлитамак</w:t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ind w:firstLine="680"/>
        <w:jc w:val="both"/>
        <w:spacing w:after="0" w:line="360" w:lineRule="auto"/>
      </w:pPr>
      <w:r/>
      <w:r/>
    </w:p>
    <w:p>
      <w:pPr>
        <w:ind w:firstLine="680"/>
        <w:jc w:val="both"/>
        <w:spacing w:after="0" w:line="360" w:lineRule="auto"/>
      </w:pPr>
      <w:r/>
      <w:r/>
    </w:p>
    <w:p>
      <w:pPr>
        <w:ind w:firstLine="680"/>
        <w:jc w:val="both"/>
        <w:spacing w:after="0" w:line="360" w:lineRule="auto"/>
      </w:pPr>
      <w:r/>
      <w:r/>
    </w:p>
    <w:p>
      <w:pPr>
        <w:ind w:firstLine="680"/>
        <w:jc w:val="both"/>
        <w:spacing w:after="0" w:line="360" w:lineRule="auto"/>
      </w:pPr>
      <w:r/>
      <w:r/>
    </w:p>
    <w:p>
      <w:pPr>
        <w:ind w:firstLine="680"/>
        <w:jc w:val="both"/>
        <w:spacing w:after="0" w:line="360" w:lineRule="auto"/>
      </w:pPr>
      <w:r/>
      <w:r/>
    </w:p>
    <w:p>
      <w:pPr>
        <w:ind w:firstLine="680"/>
        <w:jc w:val="both"/>
        <w:spacing w:after="0" w:line="360" w:lineRule="auto"/>
      </w:pPr>
      <w:r/>
      <w:r/>
    </w:p>
    <w:p>
      <w:pPr>
        <w:ind w:firstLine="680"/>
        <w:jc w:val="both"/>
        <w:spacing w:after="0" w:line="360" w:lineRule="auto"/>
      </w:pPr>
      <w:r/>
      <w:r/>
    </w:p>
    <w:p>
      <w:pPr>
        <w:ind w:firstLine="680"/>
        <w:jc w:val="both"/>
        <w:spacing w:after="0" w:line="360" w:lineRule="auto"/>
      </w:pPr>
      <w:r/>
      <w:r/>
    </w:p>
    <w:p>
      <w:pPr>
        <w:ind w:firstLine="680"/>
        <w:jc w:val="both"/>
        <w:spacing w:after="0" w:line="360" w:lineRule="auto"/>
      </w:pPr>
      <w:r/>
      <w:r/>
    </w:p>
    <w:p>
      <w:pPr>
        <w:ind w:firstLine="680"/>
        <w:jc w:val="righ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Разработали: Татьяна Александровна Будаева учитель-логопед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righ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первой квалификационной категории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Анна Валерьевна Захарова воспитатель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righ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righ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Надежда Юрьевна Шишкина музыкальный руководитель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righ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right"/>
        <w:spacing w:after="0" w:line="360" w:lineRule="auto"/>
      </w:pPr>
      <w:r/>
      <w:r/>
    </w:p>
    <w:p>
      <w:pPr>
        <w:ind w:firstLine="680"/>
        <w:jc w:val="both"/>
        <w:spacing w:after="0" w:line="360" w:lineRule="auto"/>
      </w:pPr>
      <w:r>
        <w:t xml:space="preserve"> </w:t>
      </w:r>
      <w:r/>
    </w:p>
    <w:p>
      <w:pPr>
        <w:ind w:firstLine="680"/>
        <w:jc w:val="both"/>
        <w:spacing w:after="0" w:line="360" w:lineRule="auto"/>
      </w:pPr>
      <w:r/>
      <w:r/>
    </w:p>
    <w:p>
      <w:pPr>
        <w:ind w:firstLine="680"/>
        <w:jc w:val="both"/>
        <w:spacing w:after="0" w:line="360" w:lineRule="auto"/>
      </w:pPr>
      <w:r/>
      <w:r/>
    </w:p>
    <w:p>
      <w:pPr>
        <w:ind w:firstLine="680"/>
        <w:jc w:val="both"/>
        <w:spacing w:after="0" w:line="360" w:lineRule="auto"/>
      </w:pPr>
      <w:r/>
      <w:r/>
    </w:p>
    <w:p>
      <w:pPr>
        <w:ind w:firstLine="680"/>
        <w:jc w:val="both"/>
        <w:spacing w:after="0" w:line="360" w:lineRule="auto"/>
      </w:pPr>
      <w:r/>
      <w:r/>
    </w:p>
    <w:p>
      <w:pPr>
        <w:jc w:val="both"/>
        <w:spacing w:after="0" w:line="360" w:lineRule="auto"/>
      </w:pPr>
      <w:r/>
      <w:r/>
    </w:p>
    <w:p>
      <w:pPr>
        <w:ind w:firstLine="680"/>
        <w:jc w:val="both"/>
        <w:spacing w:after="0" w:line="360" w:lineRule="auto"/>
      </w:pPr>
      <w:r/>
      <w:r/>
    </w:p>
    <w:p>
      <w:pPr>
        <w:ind w:firstLine="680"/>
        <w:jc w:val="both"/>
        <w:spacing w:after="0" w:line="360" w:lineRule="auto"/>
      </w:pPr>
      <w:r/>
      <w:r/>
    </w:p>
    <w:p>
      <w:pPr>
        <w:jc w:val="both"/>
        <w:spacing w:after="0" w:line="360" w:lineRule="auto"/>
      </w:pPr>
      <w:r/>
      <w:r/>
    </w:p>
    <w:p>
      <w:pPr>
        <w:ind w:firstLine="680"/>
        <w:jc w:val="both"/>
        <w:spacing w:after="0" w:line="360" w:lineRule="auto"/>
      </w:pPr>
      <w:r>
        <w:br w:type="page" w:clear="all"/>
      </w:r>
      <w:r/>
    </w:p>
    <w:p>
      <w:pPr>
        <w:ind w:firstLine="68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основным видам деятельности дошкольника относят игру и общение, следовательно, игровое общение есть тот необходимый базис, в рамках которого происходит формирование и совершенствование речевой активности ребёнка.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Дидактическая игра по развитию речи «Мемо Стерлитамак» это: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3190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Ассоциации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3190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3190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Воображение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Внимание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Мышление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68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развитие речевой активности, обогащение объема словаря, развитие зрительной памяти, патриотическое воспитание.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заключается в необходимости создания авторского ресурса, который был бы удобен, компактен, интересен и мобилен.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 игры: В игровом наборе содержатся парные карточки. До начала игры в «Мемори» все карты перемешиваются, поворачиваются рубашкой вверх и раскладываются на игровом поле.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145415</wp:posOffset>
                </wp:positionH>
                <wp:positionV relativeFrom="paragraph">
                  <wp:posOffset>3706495</wp:posOffset>
                </wp:positionV>
                <wp:extent cx="2742565" cy="1562100"/>
                <wp:effectExtent l="0" t="0" r="635" b="0"/>
                <wp:wrapSquare wrapText="bothSides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3468566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16017" r="0" b="14744"/>
                        <a:stretch/>
                      </pic:blipFill>
                      <pic:spPr bwMode="auto">
                        <a:xfrm>
                          <a:off x="0" y="0"/>
                          <a:ext cx="2742565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char;margin-left:11.45pt;mso-position-horizontal:absolute;mso-position-vertical-relative:text;margin-top:291.85pt;mso-position-vertical:absolute;width:215.95pt;height:123.00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1270</wp:posOffset>
                </wp:positionV>
                <wp:extent cx="2442845" cy="1819275"/>
                <wp:effectExtent l="0" t="0" r="0" b="9525"/>
                <wp:wrapThrough wrapText="bothSides">
                  <wp:wrapPolygon edited="1">
                    <wp:start x="0" y="0"/>
                    <wp:lineTo x="0" y="21487"/>
                    <wp:lineTo x="21392" y="21487"/>
                    <wp:lineTo x="21392" y="0"/>
                    <wp:lineTo x="0" y="0"/>
                  </wp:wrapPolygon>
                </wp:wrapThrough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2455323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442845" cy="1819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9264;o:allowoverlap:true;o:allowincell:true;mso-position-horizontal-relative:text;margin-left:0.40pt;mso-position-horizontal:absolute;mso-position-vertical-relative:text;margin-top:0.10pt;mso-position-vertical:absolute;width:192.35pt;height:143.25pt;mso-wrap-distance-left:9.00pt;mso-wrap-distance-top:0.00pt;mso-wrap-distance-right:9.00pt;mso-wrap-distance-bottom:0.00pt;" wrapcoords="0 0 0 99477 99037 99477 99037 0 0 0" stroked="false">
                <v:path textboxrect="0,0,0,0"/>
                <w10:wrap type="through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Дети по очереди</w:t>
      </w:r>
      <w:r>
        <w:rPr>
          <w:rFonts w:ascii="Times New Roman" w:hAnsi="Times New Roman" w:cs="Times New Roman"/>
          <w:sz w:val="28"/>
          <w:szCs w:val="28"/>
        </w:rPr>
        <w:t xml:space="preserve"> переворачивают по две карты и называют, что на них изображено. Если картинки на них совпадают, то игрок забирает пару, а затем продолжает ход и переворачивает ещё две карты. Если ребёнок перевернул разные картинки, то его задача - дать возможность всем ув</w:t>
      </w:r>
      <w:r>
        <w:rPr>
          <w:rFonts w:ascii="Times New Roman" w:hAnsi="Times New Roman" w:cs="Times New Roman"/>
          <w:sz w:val="28"/>
          <w:szCs w:val="28"/>
        </w:rPr>
        <w:t xml:space="preserve">идеть, что именно изображено на картах, положить их на место рубашкой вверх и передать ход следующему игроку по часовой стрелке. По ходу игры игроки будут вынуждены запоминать множество картинок и их расположение, чтобы совершать наиболее эффективные ходы.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Играют обычно 2 - 6 участников, в зависимости от количества карточек. Свое название настольная игра «мемори» получила от англ. memory (память) и полностью оправдывает свое название.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переворачивать больше двух карт: даже если вы точно знаете, где к одной из них находится пара, придётся ждать до следующего своего хода. Побеждает тот игрок, кто смог найти больше всего пар к концу партии.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haracter">
                  <wp:posOffset>3336290</wp:posOffset>
                </wp:positionH>
                <wp:positionV relativeFrom="paragraph">
                  <wp:posOffset>67310</wp:posOffset>
                </wp:positionV>
                <wp:extent cx="2496820" cy="1722755"/>
                <wp:effectExtent l="0" t="0" r="0" b="0"/>
                <wp:wrapSquare wrapText="bothSides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0053307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496819" cy="17227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61312;o:allowoverlap:true;o:allowincell:true;mso-position-horizontal-relative:char;margin-left:262.70pt;mso-position-horizontal:absolute;mso-position-vertical-relative:text;margin-top:5.30pt;mso-position-vertical:absolute;width:196.60pt;height:135.65pt;mso-wrap-distance-left:9.00pt;mso-wrap-distance-top:0.00pt;mso-wrap-distance-right:9.00pt;mso-wrap-distance-bottom:0.00pt;" stroked="false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Можно предложить еще задания, после того как ребёнок угадал все пары картинок, выбираем по одной картинке и раскладываем их по форме квадрата, прямоугольника. Ребёнку предлагается определить положения картинок.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851" w:hanging="142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можно дать такие задания: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hanging="142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Найди картинку в правом верхнем углу, нижнем углу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hanging="142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·Найди картинку в левом нижнем углу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hanging="142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·Назови картинки в первом, втором, третьем ряду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hanging="142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Назови картинки в первом, втором, третьем столбике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hanging="142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·Назови какая картинка находится между, над, под, справа или слева от какой-либо картинки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ребенку предлагается закрыть глаза и угадать какую картинку спрятал логопед, какие картинки поменял местами.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Игры, включающие в себя краеведческий материал, могут служить отличной базой для ряда специальных задач: воспитания звуковой кул</w:t>
      </w:r>
      <w:r>
        <w:rPr>
          <w:rFonts w:ascii="Times New Roman" w:hAnsi="Times New Roman" w:cs="Times New Roman"/>
          <w:sz w:val="28"/>
          <w:szCs w:val="28"/>
        </w:rPr>
        <w:t xml:space="preserve">ьтуры речи, обогащения, закрепления и активизации словаря, совершенствования грамматической правильности речи, формирования разговорной (диалогической) речи, развития связной речи, воспитания интереса к художественному слову, подготовки к обучению грамоте.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город имеет свои не</w:t>
      </w:r>
      <w:r>
        <w:rPr>
          <w:rFonts w:ascii="Times New Roman" w:hAnsi="Times New Roman" w:cs="Times New Roman"/>
          <w:sz w:val="28"/>
          <w:szCs w:val="28"/>
        </w:rPr>
        <w:t xml:space="preserve">повторимые черты, они заключены в особенностях природного окружения, труда людей, в достопримечательностях. Ребёнок, знакомясь с родным городом, учится осознавать себя живущим в определённый временной период, в определённых этнокультурных условиях и в то ж</w:t>
      </w:r>
      <w:r>
        <w:rPr>
          <w:rFonts w:ascii="Times New Roman" w:hAnsi="Times New Roman" w:cs="Times New Roman"/>
          <w:sz w:val="28"/>
          <w:szCs w:val="28"/>
        </w:rPr>
        <w:t xml:space="preserve">е время приобщается к богатствам национальной и мировой культуры. Все эти особенности позволяют формировать с детских лет представление о специфике своей Родины и на этой основе воспитывать патриотизм, чувство любви и привязанности к своему родному городу.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источников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1.http://gorod-na-sterle.ru/ История Стерлитамака, фотографии старого города, памятные места]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fldChar w:fldCharType="begin"/>
      </w:r>
      <w:r>
        <w:instrText xml:space="preserve"> HYPERLINK "https://sterlitamakadm.ru/city/history.php" \t "_blank" </w:instrText>
      </w:r>
      <w:r>
        <w:fldChar w:fldCharType="separate"/>
      </w:r>
      <w:r>
        <w:rPr>
          <w:rStyle w:val="658"/>
          <w:rFonts w:ascii="Times New Roman" w:hAnsi="Times New Roman" w:cs="Times New Roman"/>
          <w:b/>
          <w:bCs/>
          <w:sz w:val="28"/>
          <w:szCs w:val="28"/>
          <w:u w:val="none"/>
          <w:shd w:val="clear" w:color="auto" w:fill="ffffff"/>
        </w:rPr>
        <w:t xml:space="preserve">sterlitamakadm.ru</w:t>
      </w:r>
      <w:r>
        <w:rPr>
          <w:rStyle w:val="660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›</w:t>
      </w:r>
      <w:r>
        <w:rPr>
          <w:rStyle w:val="658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 xml:space="preserve">Город</w:t>
      </w:r>
      <w:r>
        <w:rPr>
          <w:rStyle w:val="660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›</w:t>
      </w:r>
      <w:r>
        <w:rPr>
          <w:rStyle w:val="658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 xml:space="preserve">history.php</w:t>
      </w:r>
      <w:r>
        <w:rPr>
          <w:rStyle w:val="658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3.Какие бывают настольные игры? // Игровед. Сеть магазинов настольных игр (Электронный ресурс).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http</w:t>
      </w:r>
      <w:r>
        <w:rPr>
          <w:rFonts w:ascii="Times New Roman" w:hAnsi="Times New Roman" w:cs="Times New Roman"/>
          <w:sz w:val="28"/>
          <w:szCs w:val="28"/>
        </w:rPr>
        <w:t xml:space="preserve">://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igrowed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4"/>
    <w:next w:val="6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5"/>
    <w:link w:val="42"/>
    <w:uiPriority w:val="99"/>
  </w:style>
  <w:style w:type="paragraph" w:styleId="44">
    <w:name w:val="Footer"/>
    <w:basedOn w:val="65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5"/>
    <w:link w:val="44"/>
    <w:uiPriority w:val="99"/>
  </w:style>
  <w:style w:type="paragraph" w:styleId="46">
    <w:name w:val="Caption"/>
    <w:basedOn w:val="654"/>
    <w:next w:val="65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57">
    <w:name w:val="FollowedHyperlink"/>
    <w:basedOn w:val="655"/>
    <w:uiPriority w:val="99"/>
    <w:semiHidden/>
    <w:unhideWhenUsed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58">
    <w:name w:val="Hyperlink"/>
    <w:basedOn w:val="655"/>
    <w:uiPriority w:val="99"/>
    <w:unhideWhenUsed/>
    <w:qFormat/>
    <w:rPr>
      <w:color w:val="0000ff"/>
      <w:u w:val="single"/>
    </w:rPr>
  </w:style>
  <w:style w:type="table" w:styleId="659">
    <w:name w:val="Table Grid"/>
    <w:basedOn w:val="65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60" w:customStyle="1">
    <w:name w:val="path-separator"/>
    <w:basedOn w:val="655"/>
    <w:uiPriority w:val="0"/>
  </w:style>
  <w:style w:type="character" w:styleId="661" w:customStyle="1">
    <w:name w:val="Unresolved Mention"/>
    <w:basedOn w:val="655"/>
    <w:uiPriority w:val="99"/>
    <w:semiHidden/>
    <w:unhideWhenUsed/>
    <w:rPr>
      <w:color w:val="605e5c"/>
      <w:shd w:val="clear" w:color="auto" w:fill="e1dfdd"/>
    </w:rPr>
  </w:style>
  <w:style w:type="numbering" w:styleId="113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13489-2EFA-4707-A7D3-857EA16F3EC6}"/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шишкина</cp:lastModifiedBy>
  <cp:revision>10</cp:revision>
  <dcterms:created xsi:type="dcterms:W3CDTF">2023-12-03T05:28:00Z</dcterms:created>
  <dcterms:modified xsi:type="dcterms:W3CDTF">2025-11-17T14:28:00Z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37AA985B665642F48E46A8BBA47A5FF1_12</vt:lpwstr>
  </property>
</Properties>
</file>